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F437E8"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4917B0">
        <w:rPr>
          <w:rFonts w:asciiTheme="majorHAnsi" w:hAnsiTheme="majorHAnsi" w:cstheme="majorHAnsi"/>
          <w:sz w:val="22"/>
          <w:szCs w:val="22"/>
        </w:rPr>
        <w:t>g</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2A22BD">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C86FA1">
        <w:rPr>
          <w:rFonts w:asciiTheme="majorHAnsi" w:hAnsiTheme="majorHAnsi" w:cstheme="majorHAnsi"/>
          <w:sz w:val="22"/>
          <w:szCs w:val="22"/>
        </w:rPr>
        <w:t xml:space="preserve"> „Zadanie nr 7</w:t>
      </w:r>
      <w:r w:rsidR="00D445EF" w:rsidRPr="00D445EF">
        <w:rPr>
          <w:rFonts w:asciiTheme="majorHAnsi" w:hAnsiTheme="majorHAnsi" w:cstheme="majorHAnsi"/>
          <w:sz w:val="22"/>
          <w:szCs w:val="22"/>
        </w:rPr>
        <w:t xml:space="preserve">: </w:t>
      </w:r>
      <w:r w:rsidR="00C86FA1">
        <w:rPr>
          <w:rFonts w:asciiTheme="majorHAnsi" w:hAnsiTheme="majorHAnsi" w:cstheme="majorHAnsi"/>
          <w:sz w:val="22"/>
          <w:szCs w:val="22"/>
        </w:rPr>
        <w:t>„</w:t>
      </w:r>
      <w:r w:rsidR="00D445EF" w:rsidRPr="00D445EF">
        <w:rPr>
          <w:rFonts w:asciiTheme="majorHAnsi" w:hAnsiTheme="majorHAnsi" w:cstheme="majorHAnsi"/>
          <w:sz w:val="22"/>
          <w:szCs w:val="22"/>
        </w:rPr>
        <w:t xml:space="preserve">Dostawa </w:t>
      </w:r>
      <w:r w:rsidR="00C86FA1">
        <w:rPr>
          <w:rFonts w:asciiTheme="majorHAnsi" w:hAnsiTheme="majorHAnsi" w:cstheme="majorHAnsi"/>
          <w:sz w:val="22"/>
          <w:szCs w:val="22"/>
        </w:rPr>
        <w:t>dekoracji bożonarodzeniowych</w:t>
      </w:r>
      <w:r w:rsidR="00D445EF" w:rsidRPr="00D445EF">
        <w:rPr>
          <w:rFonts w:asciiTheme="majorHAnsi" w:hAnsiTheme="majorHAnsi" w:cstheme="majorHAnsi"/>
          <w:sz w:val="22"/>
          <w:szCs w:val="22"/>
        </w:rPr>
        <w:t>”</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w:t>
      </w:r>
      <w:r w:rsidR="001F2840">
        <w:rPr>
          <w:rFonts w:asciiTheme="majorHAnsi" w:hAnsiTheme="majorHAnsi" w:cstheme="majorHAnsi"/>
          <w:b w:val="0"/>
          <w:sz w:val="22"/>
          <w:szCs w:val="22"/>
          <w:lang w:eastAsia="pl-PL"/>
        </w:rPr>
        <w:t>onywanie zleconych dostaw</w:t>
      </w:r>
      <w:r w:rsidR="006C1A51" w:rsidRPr="006B579C">
        <w:rPr>
          <w:rFonts w:asciiTheme="majorHAnsi" w:hAnsiTheme="majorHAnsi" w:cstheme="majorHAnsi"/>
          <w:b w:val="0"/>
          <w:sz w:val="22"/>
          <w:szCs w:val="22"/>
          <w:lang w:eastAsia="pl-PL"/>
        </w:rPr>
        <w:t>.</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w:t>
      </w:r>
      <w:r w:rsidR="0058525C">
        <w:rPr>
          <w:rFonts w:asciiTheme="majorHAnsi" w:hAnsiTheme="majorHAnsi" w:cstheme="majorHAnsi"/>
          <w:b w:val="0"/>
          <w:sz w:val="22"/>
          <w:szCs w:val="22"/>
        </w:rPr>
        <w:t xml:space="preserve"> dokumentacją </w:t>
      </w:r>
      <w:r w:rsidRPr="00984289">
        <w:rPr>
          <w:rFonts w:asciiTheme="majorHAnsi" w:hAnsiTheme="majorHAnsi" w:cstheme="majorHAnsi"/>
          <w:b w:val="0"/>
          <w:sz w:val="22"/>
          <w:szCs w:val="22"/>
        </w:rPr>
        <w:t>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984289">
        <w:rPr>
          <w:rFonts w:asciiTheme="majorHAnsi" w:hAnsiTheme="majorHAnsi" w:cstheme="majorHAnsi"/>
          <w:sz w:val="22"/>
          <w:szCs w:val="22"/>
        </w:rPr>
        <w:t xml:space="preserve"> gwarantuje, że dostarczony</w:t>
      </w:r>
      <w:r w:rsidR="00DC2136" w:rsidRPr="006B579C">
        <w:rPr>
          <w:rFonts w:asciiTheme="majorHAnsi" w:hAnsiTheme="majorHAnsi" w:cstheme="majorHAnsi"/>
          <w:sz w:val="22"/>
          <w:szCs w:val="22"/>
        </w:rPr>
        <w:t xml:space="preserve"> przez niego </w:t>
      </w:r>
      <w:r w:rsidR="00C86FA1">
        <w:rPr>
          <w:rFonts w:asciiTheme="majorHAnsi" w:hAnsiTheme="majorHAnsi" w:cstheme="majorHAnsi"/>
          <w:sz w:val="22"/>
          <w:szCs w:val="22"/>
        </w:rPr>
        <w:t xml:space="preserve">dekoracje bożonarodzeniowe </w:t>
      </w:r>
      <w:r w:rsidR="0058525C">
        <w:rPr>
          <w:rFonts w:asciiTheme="majorHAnsi" w:hAnsiTheme="majorHAnsi" w:cstheme="majorHAnsi"/>
          <w:sz w:val="22"/>
          <w:szCs w:val="22"/>
        </w:rPr>
        <w:t xml:space="preserve">będą </w:t>
      </w:r>
      <w:r w:rsidR="00C101E0">
        <w:rPr>
          <w:rFonts w:asciiTheme="majorHAnsi" w:hAnsiTheme="majorHAnsi" w:cstheme="majorHAnsi"/>
          <w:sz w:val="22"/>
          <w:szCs w:val="22"/>
        </w:rPr>
        <w:t>woln</w:t>
      </w:r>
      <w:r w:rsidR="0058525C">
        <w:rPr>
          <w:rFonts w:asciiTheme="majorHAnsi" w:hAnsiTheme="majorHAnsi" w:cstheme="majorHAnsi"/>
          <w:sz w:val="22"/>
          <w:szCs w:val="22"/>
        </w:rPr>
        <w:t>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C86FA1">
        <w:rPr>
          <w:rFonts w:asciiTheme="majorHAnsi" w:hAnsiTheme="majorHAnsi" w:cstheme="majorHAnsi"/>
          <w:sz w:val="22"/>
          <w:szCs w:val="22"/>
        </w:rPr>
        <w:t>dekoracje</w:t>
      </w:r>
      <w:r w:rsidR="0058525C">
        <w:rPr>
          <w:rFonts w:asciiTheme="majorHAnsi" w:hAnsiTheme="majorHAnsi" w:cstheme="majorHAnsi"/>
          <w:sz w:val="22"/>
          <w:szCs w:val="22"/>
        </w:rPr>
        <w:t xml:space="preserve"> będą</w:t>
      </w:r>
      <w:r w:rsidR="00C101E0">
        <w:rPr>
          <w:rFonts w:asciiTheme="majorHAnsi" w:hAnsiTheme="majorHAnsi" w:cstheme="majorHAnsi"/>
          <w:sz w:val="22"/>
          <w:szCs w:val="22"/>
        </w:rPr>
        <w:t xml:space="preserve"> posiadał</w:t>
      </w:r>
      <w:r w:rsidR="0058525C">
        <w:rPr>
          <w:rFonts w:asciiTheme="majorHAnsi" w:hAnsiTheme="majorHAnsi" w:cstheme="majorHAnsi"/>
          <w:sz w:val="22"/>
          <w:szCs w:val="22"/>
        </w:rPr>
        <w:t>y</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rsidR="00002CF4" w:rsidRPr="002A22BD" w:rsidRDefault="00002CF4" w:rsidP="006C1A51">
      <w:pPr>
        <w:ind w:firstLine="708"/>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a)  rozpoczęcie </w:t>
      </w:r>
      <w:r w:rsidRPr="002A22BD">
        <w:rPr>
          <w:rFonts w:asciiTheme="majorHAnsi" w:hAnsiTheme="majorHAnsi" w:cstheme="majorHAnsi"/>
          <w:b w:val="0"/>
          <w:sz w:val="22"/>
          <w:szCs w:val="22"/>
        </w:rPr>
        <w:t xml:space="preserve">realizacji  - </w:t>
      </w:r>
      <w:r w:rsidR="0031617E">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2A22BD">
        <w:rPr>
          <w:rFonts w:asciiTheme="majorHAnsi" w:hAnsiTheme="majorHAnsi" w:cstheme="majorHAnsi"/>
          <w:b w:val="0"/>
          <w:sz w:val="22"/>
          <w:szCs w:val="22"/>
        </w:rPr>
        <w:t xml:space="preserve">b)  zakończenie realizacji </w:t>
      </w:r>
      <w:r w:rsidR="00471C66" w:rsidRPr="002A22BD">
        <w:rPr>
          <w:rFonts w:asciiTheme="majorHAnsi" w:hAnsiTheme="majorHAnsi" w:cstheme="majorHAnsi"/>
          <w:b w:val="0"/>
          <w:sz w:val="22"/>
          <w:szCs w:val="22"/>
        </w:rPr>
        <w:t>–</w:t>
      </w:r>
      <w:r w:rsidRPr="002A22BD">
        <w:rPr>
          <w:rFonts w:asciiTheme="majorHAnsi" w:hAnsiTheme="majorHAnsi" w:cstheme="majorHAnsi"/>
          <w:b w:val="0"/>
          <w:sz w:val="22"/>
          <w:szCs w:val="22"/>
        </w:rPr>
        <w:t xml:space="preserve"> </w:t>
      </w:r>
      <w:r w:rsidR="002A22BD" w:rsidRPr="002A22BD">
        <w:rPr>
          <w:rFonts w:asciiTheme="majorHAnsi" w:hAnsiTheme="majorHAnsi" w:cstheme="majorHAnsi"/>
          <w:b w:val="0"/>
          <w:sz w:val="22"/>
          <w:szCs w:val="22"/>
        </w:rPr>
        <w:t>15.04</w:t>
      </w:r>
      <w:r w:rsidR="00456A96" w:rsidRPr="002A22BD">
        <w:rPr>
          <w:rFonts w:asciiTheme="majorHAnsi" w:hAnsiTheme="majorHAnsi" w:cstheme="majorHAnsi"/>
          <w:b w:val="0"/>
          <w:sz w:val="22"/>
          <w:szCs w:val="22"/>
        </w:rPr>
        <w:t>.2020r.</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2A22BD">
        <w:rPr>
          <w:rFonts w:asciiTheme="majorHAnsi" w:hAnsiTheme="majorHAnsi" w:cstheme="majorHAnsi"/>
          <w:b w:val="0"/>
          <w:sz w:val="22"/>
          <w:szCs w:val="22"/>
        </w:rPr>
        <w:t>15.04</w:t>
      </w:r>
      <w:r w:rsidR="00456A96">
        <w:rPr>
          <w:rFonts w:asciiTheme="majorHAnsi" w:hAnsiTheme="majorHAnsi" w:cstheme="majorHAnsi"/>
          <w:b w:val="0"/>
          <w:sz w:val="22"/>
          <w:szCs w:val="22"/>
        </w:rPr>
        <w:t>.2020r.</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zapewnienia przestrzegania przepisów BHP w trakcie </w:t>
      </w:r>
      <w:r w:rsidR="00180495">
        <w:rPr>
          <w:rFonts w:asciiTheme="majorHAnsi" w:hAnsiTheme="majorHAnsi" w:cstheme="majorHAnsi"/>
          <w:b w:val="0"/>
          <w:sz w:val="22"/>
          <w:szCs w:val="22"/>
        </w:rPr>
        <w:t>dostawy</w:t>
      </w:r>
      <w:r w:rsidRPr="006B579C">
        <w:rPr>
          <w:rFonts w:asciiTheme="majorHAnsi" w:hAnsiTheme="majorHAnsi" w:cstheme="majorHAnsi"/>
          <w:b w:val="0"/>
          <w:sz w:val="22"/>
          <w:szCs w:val="22"/>
        </w:rPr>
        <w:t xml:space="preserve"> przedmiotu Umowy, z tym zastrzeżeniem, że Wykonawca ponosi pełną odpowiedzialność w tym zakresie,</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C86FA1">
        <w:rPr>
          <w:rFonts w:asciiTheme="majorHAnsi" w:hAnsiTheme="majorHAnsi" w:cstheme="majorHAnsi"/>
          <w:b w:val="0"/>
          <w:sz w:val="22"/>
          <w:szCs w:val="22"/>
        </w:rPr>
        <w:t>dekoracji</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9D1E5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ubezpieczenia na czas transpo</w:t>
      </w:r>
      <w:r w:rsidR="00A60456" w:rsidRPr="006B579C">
        <w:rPr>
          <w:rFonts w:asciiTheme="majorHAnsi" w:hAnsiTheme="majorHAnsi" w:cstheme="majorHAnsi"/>
          <w:b w:val="0"/>
          <w:sz w:val="22"/>
          <w:szCs w:val="22"/>
        </w:rPr>
        <w:t xml:space="preserve">rtu, </w:t>
      </w:r>
      <w:r w:rsidR="00D82BCC">
        <w:rPr>
          <w:rFonts w:asciiTheme="majorHAnsi" w:hAnsiTheme="majorHAnsi" w:cstheme="majorHAnsi"/>
          <w:b w:val="0"/>
          <w:sz w:val="22"/>
          <w:szCs w:val="22"/>
        </w:rPr>
        <w:t xml:space="preserve">rozładunek, </w:t>
      </w:r>
      <w:r w:rsidR="00836D58">
        <w:rPr>
          <w:rFonts w:asciiTheme="majorHAnsi" w:hAnsiTheme="majorHAnsi" w:cstheme="majorHAnsi"/>
          <w:b w:val="0"/>
          <w:sz w:val="22"/>
          <w:szCs w:val="22"/>
        </w:rPr>
        <w:t>wniesienie</w:t>
      </w:r>
      <w:r w:rsidR="00A60456" w:rsidRPr="006B579C">
        <w:rPr>
          <w:rFonts w:asciiTheme="majorHAnsi" w:hAnsiTheme="majorHAnsi" w:cstheme="majorHAnsi"/>
          <w:b w:val="0"/>
          <w:sz w:val="22"/>
          <w:szCs w:val="22"/>
        </w:rPr>
        <w: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rsidR="00AF3DFE"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8. </w:t>
      </w:r>
      <w:r w:rsidR="00DC2136" w:rsidRPr="006B579C">
        <w:rPr>
          <w:rFonts w:asciiTheme="majorHAnsi" w:hAnsiTheme="majorHAnsi" w:cstheme="majorHAnsi"/>
          <w:b w:val="0"/>
          <w:sz w:val="22"/>
          <w:szCs w:val="22"/>
        </w:rPr>
        <w:t>Za datę płatności uważa się dzień</w:t>
      </w:r>
      <w:r w:rsidR="00647EEA" w:rsidRPr="006B579C">
        <w:rPr>
          <w:rFonts w:asciiTheme="majorHAnsi" w:hAnsiTheme="majorHAnsi" w:cstheme="majorHAnsi"/>
          <w:b w:val="0"/>
          <w:sz w:val="22"/>
          <w:szCs w:val="22"/>
        </w:rPr>
        <w:t xml:space="preserve"> obciążenia rachunku bankowego Zamawiającego</w:t>
      </w:r>
      <w:r w:rsidR="00DC2136" w:rsidRPr="006B579C">
        <w:rPr>
          <w:rFonts w:asciiTheme="majorHAnsi" w:hAnsiTheme="majorHAnsi" w:cstheme="majorHAnsi"/>
          <w:b w:val="0"/>
          <w:sz w:val="22"/>
          <w:szCs w:val="22"/>
        </w:rPr>
        <w:t>.</w:t>
      </w:r>
    </w:p>
    <w:p w:rsidR="0031617E" w:rsidRDefault="0031617E" w:rsidP="0031617E">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rsidR="0031617E" w:rsidRDefault="0031617E" w:rsidP="0031617E">
      <w:pPr>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10. Zamawiający dopuszcza złożenie faktury VAT w formie:</w:t>
      </w:r>
    </w:p>
    <w:p w:rsidR="0031617E" w:rsidRDefault="0031617E" w:rsidP="0031617E">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31617E" w:rsidRDefault="0031617E" w:rsidP="0031617E">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9" w:history="1">
        <w:r>
          <w:rPr>
            <w:rStyle w:val="Hipercze"/>
            <w:rFonts w:asciiTheme="majorHAnsi" w:hAnsiTheme="majorHAnsi" w:cstheme="majorHAnsi"/>
            <w:b w:val="0"/>
            <w:color w:val="000000" w:themeColor="text1"/>
            <w:sz w:val="22"/>
            <w:szCs w:val="22"/>
          </w:rPr>
          <w:t>https://efaktura.gov.pl</w:t>
        </w:r>
      </w:hyperlink>
      <w:r>
        <w:rPr>
          <w:rFonts w:asciiTheme="majorHAnsi" w:hAnsiTheme="majorHAnsi" w:cstheme="majorHAnsi"/>
          <w:b w:val="0"/>
          <w:color w:val="000000" w:themeColor="text1"/>
          <w:sz w:val="22"/>
          <w:szCs w:val="22"/>
        </w:rPr>
        <w:t>,                                podając odpowiednio:</w:t>
      </w:r>
    </w:p>
    <w:p w:rsidR="0031617E" w:rsidRDefault="0031617E" w:rsidP="0031617E">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Rodzaj adresu PEF - NIP</w:t>
      </w:r>
    </w:p>
    <w:p w:rsidR="0031617E" w:rsidRDefault="0031617E" w:rsidP="0031617E">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Numer adresu PEF - </w:t>
      </w:r>
      <w:r>
        <w:rPr>
          <w:rFonts w:asciiTheme="majorHAnsi" w:hAnsiTheme="majorHAnsi" w:cstheme="majorHAnsi"/>
          <w:b w:val="0"/>
          <w:color w:val="000000" w:themeColor="text1"/>
          <w:sz w:val="22"/>
          <w:szCs w:val="22"/>
          <w:lang w:eastAsia="pl-PL"/>
        </w:rPr>
        <w:t>6521603916</w:t>
      </w:r>
    </w:p>
    <w:p w:rsidR="0031617E" w:rsidRDefault="0031617E" w:rsidP="0031617E">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lastRenderedPageBreak/>
        <w:t xml:space="preserve">11. Zamawiający oświadcza, że będzie realizować płatności za faktury z zastosowaniem mechanizmu podzielonej płatności tzw. </w:t>
      </w:r>
      <w:proofErr w:type="spellStart"/>
      <w:r>
        <w:rPr>
          <w:rFonts w:asciiTheme="majorHAnsi" w:hAnsiTheme="majorHAnsi" w:cstheme="majorHAnsi"/>
          <w:b w:val="0"/>
          <w:color w:val="000000" w:themeColor="text1"/>
          <w:sz w:val="22"/>
          <w:szCs w:val="22"/>
        </w:rPr>
        <w:t>split</w:t>
      </w:r>
      <w:proofErr w:type="spellEnd"/>
      <w:r>
        <w:rPr>
          <w:rFonts w:asciiTheme="majorHAnsi" w:hAnsiTheme="majorHAnsi" w:cstheme="majorHAnsi"/>
          <w:b w:val="0"/>
          <w:color w:val="000000" w:themeColor="text1"/>
          <w:sz w:val="22"/>
          <w:szCs w:val="22"/>
        </w:rPr>
        <w:t xml:space="preserve"> </w:t>
      </w:r>
      <w:proofErr w:type="spellStart"/>
      <w:r>
        <w:rPr>
          <w:rFonts w:asciiTheme="majorHAnsi" w:hAnsiTheme="majorHAnsi" w:cstheme="majorHAnsi"/>
          <w:b w:val="0"/>
          <w:color w:val="000000" w:themeColor="text1"/>
          <w:sz w:val="22"/>
          <w:szCs w:val="22"/>
        </w:rPr>
        <w:t>payment</w:t>
      </w:r>
      <w:proofErr w:type="spellEnd"/>
      <w:r>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xml:space="preserve">. Dz. U. z 2018 r. poz. 2174 ze zm.). </w:t>
      </w:r>
    </w:p>
    <w:p w:rsidR="0031617E" w:rsidRDefault="0031617E" w:rsidP="0031617E">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Dz. U. 2017 r. poz. 1876 ze zm.) prowadzony jest rachunek VAT.</w:t>
      </w:r>
    </w:p>
    <w:p w:rsidR="0031617E" w:rsidRPr="0031617E" w:rsidRDefault="0031617E" w:rsidP="0031617E">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3C30D0" w:rsidRPr="006B579C" w:rsidRDefault="003C30D0" w:rsidP="00F60B8F">
      <w:pPr>
        <w:pStyle w:val="Tekstpodstawowy"/>
        <w:rPr>
          <w:rFonts w:asciiTheme="majorHAnsi" w:hAnsiTheme="majorHAnsi" w:cstheme="majorHAnsi"/>
          <w:b/>
          <w:color w:val="FF0000"/>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rsidR="003C30D0" w:rsidRPr="006B579C" w:rsidRDefault="003C30D0" w:rsidP="003C30D0">
      <w:pPr>
        <w:pStyle w:val="Tekstpodstawowy"/>
        <w:jc w:val="center"/>
        <w:rPr>
          <w:rFonts w:asciiTheme="majorHAnsi" w:hAnsiTheme="majorHAnsi" w:cstheme="majorHAnsi"/>
          <w:b/>
          <w:szCs w:val="22"/>
        </w:rPr>
      </w:pP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w:t>
      </w:r>
      <w:r w:rsidR="00C86FA1">
        <w:rPr>
          <w:rFonts w:asciiTheme="majorHAnsi" w:hAnsiTheme="majorHAnsi" w:cstheme="majorHAnsi"/>
          <w:szCs w:val="22"/>
        </w:rPr>
        <w:t>kcją</w:t>
      </w:r>
      <w:r w:rsidR="00D82BCC">
        <w:rPr>
          <w:rFonts w:asciiTheme="majorHAnsi" w:hAnsiTheme="majorHAnsi" w:cstheme="majorHAnsi"/>
          <w:szCs w:val="22"/>
        </w:rPr>
        <w:t xml:space="preserve"> użytkowaniem</w:t>
      </w:r>
      <w:r w:rsidRPr="006B579C">
        <w:rPr>
          <w:rFonts w:asciiTheme="majorHAnsi" w:hAnsiTheme="majorHAnsi" w:cstheme="majorHAnsi"/>
          <w:szCs w:val="22"/>
        </w:rPr>
        <w:t>.</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47EEA" w:rsidRPr="006B579C" w:rsidRDefault="00647EEA"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 xml:space="preserve">W przypadku, gdy opóźnienie Wykonawcy w stosunku do terminu, wskazanego w § 3 umowy, przekraczać będzie 30 dni, Zamawiający może od umowy odstąpić. Oświadczenie o odstąpieniu od </w:t>
      </w:r>
      <w:r w:rsidRPr="006B579C">
        <w:rPr>
          <w:rFonts w:asciiTheme="majorHAnsi" w:hAnsiTheme="majorHAnsi" w:cstheme="majorHAnsi"/>
          <w:szCs w:val="22"/>
        </w:rPr>
        <w:lastRenderedPageBreak/>
        <w:t>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lastRenderedPageBreak/>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3A0" w:rsidRDefault="00BC53A0">
      <w:r>
        <w:separator/>
      </w:r>
    </w:p>
  </w:endnote>
  <w:endnote w:type="continuationSeparator" w:id="0">
    <w:p w:rsidR="00BC53A0" w:rsidRDefault="00BC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AD4147">
      <w:rPr>
        <w:rFonts w:ascii="Calibri Light" w:hAnsi="Calibri Light" w:cs="Calibri Light"/>
        <w:b w:val="0"/>
        <w:bCs/>
      </w:rPr>
      <w:fldChar w:fldCharType="begin"/>
    </w:r>
    <w:r>
      <w:rPr>
        <w:rFonts w:ascii="Calibri Light" w:hAnsi="Calibri Light" w:cs="Calibri Light"/>
        <w:b w:val="0"/>
        <w:bCs/>
      </w:rPr>
      <w:instrText>PAGE</w:instrText>
    </w:r>
    <w:r w:rsidR="00AD4147">
      <w:rPr>
        <w:rFonts w:ascii="Calibri Light" w:hAnsi="Calibri Light" w:cs="Calibri Light"/>
        <w:b w:val="0"/>
        <w:bCs/>
      </w:rPr>
      <w:fldChar w:fldCharType="separate"/>
    </w:r>
    <w:r w:rsidR="00823186">
      <w:rPr>
        <w:rFonts w:ascii="Calibri Light" w:hAnsi="Calibri Light" w:cs="Calibri Light"/>
        <w:b w:val="0"/>
        <w:bCs/>
        <w:noProof/>
      </w:rPr>
      <w:t>6</w:t>
    </w:r>
    <w:r w:rsidR="00AD4147">
      <w:rPr>
        <w:rFonts w:ascii="Calibri Light" w:hAnsi="Calibri Light" w:cs="Calibri Light"/>
        <w:b w:val="0"/>
        <w:bCs/>
      </w:rPr>
      <w:fldChar w:fldCharType="end"/>
    </w:r>
    <w:r>
      <w:rPr>
        <w:rFonts w:ascii="Calibri Light" w:hAnsi="Calibri Light" w:cs="Calibri Light"/>
        <w:b w:val="0"/>
      </w:rPr>
      <w:t xml:space="preserve"> z </w:t>
    </w:r>
    <w:r w:rsidR="00AD4147">
      <w:rPr>
        <w:rFonts w:ascii="Calibri Light" w:hAnsi="Calibri Light" w:cs="Calibri Light"/>
        <w:b w:val="0"/>
        <w:bCs/>
      </w:rPr>
      <w:fldChar w:fldCharType="begin"/>
    </w:r>
    <w:r>
      <w:rPr>
        <w:rFonts w:ascii="Calibri Light" w:hAnsi="Calibri Light" w:cs="Calibri Light"/>
        <w:b w:val="0"/>
        <w:bCs/>
      </w:rPr>
      <w:instrText>NUMPAGES</w:instrText>
    </w:r>
    <w:r w:rsidR="00AD4147">
      <w:rPr>
        <w:rFonts w:ascii="Calibri Light" w:hAnsi="Calibri Light" w:cs="Calibri Light"/>
        <w:b w:val="0"/>
        <w:bCs/>
      </w:rPr>
      <w:fldChar w:fldCharType="separate"/>
    </w:r>
    <w:r w:rsidR="00823186">
      <w:rPr>
        <w:rFonts w:ascii="Calibri Light" w:hAnsi="Calibri Light" w:cs="Calibri Light"/>
        <w:b w:val="0"/>
        <w:bCs/>
        <w:noProof/>
      </w:rPr>
      <w:t>6</w:t>
    </w:r>
    <w:r w:rsidR="00AD4147">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3A0" w:rsidRDefault="00BC53A0">
      <w:r>
        <w:separator/>
      </w:r>
    </w:p>
  </w:footnote>
  <w:footnote w:type="continuationSeparator" w:id="0">
    <w:p w:rsidR="00BC53A0" w:rsidRDefault="00BC5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41BE9"/>
    <w:rsid w:val="00092C81"/>
    <w:rsid w:val="000A5A42"/>
    <w:rsid w:val="000B7768"/>
    <w:rsid w:val="000E50F8"/>
    <w:rsid w:val="000F1245"/>
    <w:rsid w:val="00107149"/>
    <w:rsid w:val="001143D4"/>
    <w:rsid w:val="00140DB9"/>
    <w:rsid w:val="00180495"/>
    <w:rsid w:val="0018703A"/>
    <w:rsid w:val="001F2840"/>
    <w:rsid w:val="00201168"/>
    <w:rsid w:val="00224A81"/>
    <w:rsid w:val="002319A6"/>
    <w:rsid w:val="002355BA"/>
    <w:rsid w:val="002453E6"/>
    <w:rsid w:val="00265526"/>
    <w:rsid w:val="00267116"/>
    <w:rsid w:val="00271858"/>
    <w:rsid w:val="00276791"/>
    <w:rsid w:val="00277B9D"/>
    <w:rsid w:val="002A22BD"/>
    <w:rsid w:val="002B2230"/>
    <w:rsid w:val="002E3030"/>
    <w:rsid w:val="002E686C"/>
    <w:rsid w:val="00302F22"/>
    <w:rsid w:val="0031617E"/>
    <w:rsid w:val="003165D7"/>
    <w:rsid w:val="0033460F"/>
    <w:rsid w:val="003602AB"/>
    <w:rsid w:val="00364D80"/>
    <w:rsid w:val="00385D1D"/>
    <w:rsid w:val="00387929"/>
    <w:rsid w:val="00395CFA"/>
    <w:rsid w:val="003A3731"/>
    <w:rsid w:val="003A43A4"/>
    <w:rsid w:val="003B6916"/>
    <w:rsid w:val="003C1FFD"/>
    <w:rsid w:val="003C2E48"/>
    <w:rsid w:val="003C30D0"/>
    <w:rsid w:val="003C3BD5"/>
    <w:rsid w:val="0040142E"/>
    <w:rsid w:val="0041571F"/>
    <w:rsid w:val="004353EB"/>
    <w:rsid w:val="004444AE"/>
    <w:rsid w:val="00456A96"/>
    <w:rsid w:val="00456C7F"/>
    <w:rsid w:val="00462A95"/>
    <w:rsid w:val="00471C66"/>
    <w:rsid w:val="004917B0"/>
    <w:rsid w:val="00495587"/>
    <w:rsid w:val="004A5F95"/>
    <w:rsid w:val="004C29F3"/>
    <w:rsid w:val="004C34A5"/>
    <w:rsid w:val="004D39BF"/>
    <w:rsid w:val="004D6287"/>
    <w:rsid w:val="004F6DA2"/>
    <w:rsid w:val="00514796"/>
    <w:rsid w:val="00524845"/>
    <w:rsid w:val="005567AF"/>
    <w:rsid w:val="005576E9"/>
    <w:rsid w:val="005715B5"/>
    <w:rsid w:val="00581A4D"/>
    <w:rsid w:val="0058525C"/>
    <w:rsid w:val="005B1161"/>
    <w:rsid w:val="005B1B88"/>
    <w:rsid w:val="005C0F3F"/>
    <w:rsid w:val="005D2232"/>
    <w:rsid w:val="005D34F6"/>
    <w:rsid w:val="005D4FDB"/>
    <w:rsid w:val="005D5039"/>
    <w:rsid w:val="005E4710"/>
    <w:rsid w:val="005F2141"/>
    <w:rsid w:val="00606EF6"/>
    <w:rsid w:val="00640650"/>
    <w:rsid w:val="00647EEA"/>
    <w:rsid w:val="00670579"/>
    <w:rsid w:val="00670EFA"/>
    <w:rsid w:val="00675DBB"/>
    <w:rsid w:val="006B1820"/>
    <w:rsid w:val="006B5664"/>
    <w:rsid w:val="006B579C"/>
    <w:rsid w:val="006C1A51"/>
    <w:rsid w:val="006C3960"/>
    <w:rsid w:val="006C5301"/>
    <w:rsid w:val="006C53E5"/>
    <w:rsid w:val="006D5841"/>
    <w:rsid w:val="006E1A2B"/>
    <w:rsid w:val="006F76D5"/>
    <w:rsid w:val="00705EAC"/>
    <w:rsid w:val="00726979"/>
    <w:rsid w:val="00727CC9"/>
    <w:rsid w:val="0073361D"/>
    <w:rsid w:val="00743371"/>
    <w:rsid w:val="00752699"/>
    <w:rsid w:val="007649CC"/>
    <w:rsid w:val="00774461"/>
    <w:rsid w:val="007A4B9C"/>
    <w:rsid w:val="007B0184"/>
    <w:rsid w:val="007B712B"/>
    <w:rsid w:val="007C2412"/>
    <w:rsid w:val="007D7195"/>
    <w:rsid w:val="007E3FFD"/>
    <w:rsid w:val="00810113"/>
    <w:rsid w:val="00823186"/>
    <w:rsid w:val="00830560"/>
    <w:rsid w:val="00831B9D"/>
    <w:rsid w:val="00836D58"/>
    <w:rsid w:val="00842AC0"/>
    <w:rsid w:val="00857C23"/>
    <w:rsid w:val="00857EF7"/>
    <w:rsid w:val="00870429"/>
    <w:rsid w:val="00880495"/>
    <w:rsid w:val="008C6243"/>
    <w:rsid w:val="008F7D1D"/>
    <w:rsid w:val="00912089"/>
    <w:rsid w:val="00927E18"/>
    <w:rsid w:val="00942991"/>
    <w:rsid w:val="00961CC2"/>
    <w:rsid w:val="00983991"/>
    <w:rsid w:val="00984289"/>
    <w:rsid w:val="0098692D"/>
    <w:rsid w:val="00997219"/>
    <w:rsid w:val="009B2DFA"/>
    <w:rsid w:val="009B37B4"/>
    <w:rsid w:val="009C36E3"/>
    <w:rsid w:val="009D1E5C"/>
    <w:rsid w:val="00A0362E"/>
    <w:rsid w:val="00A15AE5"/>
    <w:rsid w:val="00A23CD2"/>
    <w:rsid w:val="00A3057D"/>
    <w:rsid w:val="00A60456"/>
    <w:rsid w:val="00A63793"/>
    <w:rsid w:val="00A8204C"/>
    <w:rsid w:val="00AB6EE0"/>
    <w:rsid w:val="00AB7EA7"/>
    <w:rsid w:val="00AC17BB"/>
    <w:rsid w:val="00AD4147"/>
    <w:rsid w:val="00AF3DFE"/>
    <w:rsid w:val="00B204F1"/>
    <w:rsid w:val="00B22AF9"/>
    <w:rsid w:val="00B874D8"/>
    <w:rsid w:val="00B925EB"/>
    <w:rsid w:val="00B9467A"/>
    <w:rsid w:val="00BC53A0"/>
    <w:rsid w:val="00BF10EC"/>
    <w:rsid w:val="00BF1F3D"/>
    <w:rsid w:val="00BF2B62"/>
    <w:rsid w:val="00BF41D8"/>
    <w:rsid w:val="00C101E0"/>
    <w:rsid w:val="00C155E6"/>
    <w:rsid w:val="00C242D2"/>
    <w:rsid w:val="00C31345"/>
    <w:rsid w:val="00C32F91"/>
    <w:rsid w:val="00C37106"/>
    <w:rsid w:val="00C52904"/>
    <w:rsid w:val="00C56152"/>
    <w:rsid w:val="00C86FA1"/>
    <w:rsid w:val="00CC7BBC"/>
    <w:rsid w:val="00CE16D2"/>
    <w:rsid w:val="00D03BCB"/>
    <w:rsid w:val="00D13924"/>
    <w:rsid w:val="00D153DE"/>
    <w:rsid w:val="00D445EF"/>
    <w:rsid w:val="00D54B87"/>
    <w:rsid w:val="00D552BD"/>
    <w:rsid w:val="00D745D8"/>
    <w:rsid w:val="00D82BCC"/>
    <w:rsid w:val="00D867E4"/>
    <w:rsid w:val="00D95D6E"/>
    <w:rsid w:val="00D96D6A"/>
    <w:rsid w:val="00DB0C54"/>
    <w:rsid w:val="00DB4711"/>
    <w:rsid w:val="00DC2136"/>
    <w:rsid w:val="00DE2060"/>
    <w:rsid w:val="00DE6C0A"/>
    <w:rsid w:val="00E51101"/>
    <w:rsid w:val="00E76A4D"/>
    <w:rsid w:val="00EC7FB2"/>
    <w:rsid w:val="00ED4C35"/>
    <w:rsid w:val="00EE5E62"/>
    <w:rsid w:val="00EE7C26"/>
    <w:rsid w:val="00F1669B"/>
    <w:rsid w:val="00F437E8"/>
    <w:rsid w:val="00F60B8F"/>
    <w:rsid w:val="00F802F1"/>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137642467">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FEFDA-8973-4FDF-BBE8-A3F8AC360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2631</Words>
  <Characters>15787</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9</cp:revision>
  <cp:lastPrinted>2019-03-04T13:09:00Z</cp:lastPrinted>
  <dcterms:created xsi:type="dcterms:W3CDTF">2019-11-15T10:59:00Z</dcterms:created>
  <dcterms:modified xsi:type="dcterms:W3CDTF">2020-01-17T11:25:00Z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